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月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129"/>
        <w:gridCol w:w="757"/>
        <w:gridCol w:w="529"/>
        <w:gridCol w:w="281"/>
        <w:gridCol w:w="467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513"/>
        <w:gridCol w:w="264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071"/>
        <w:gridCol w:w="469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刘涛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1982.05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2005.08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思想政治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中学一级教师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2011.12.31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2011.12.31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思想政治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18"/>
                <w:szCs w:val="18"/>
              </w:rPr>
              <w:t>学历情况</w:t>
            </w:r>
          </w:p>
        </w:tc>
        <w:tc>
          <w:tcPr>
            <w:tcW w:w="188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次</w:t>
            </w:r>
          </w:p>
        </w:tc>
        <w:tc>
          <w:tcPr>
            <w:tcW w:w="154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南京师范大学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2005.06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思想政治教育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次</w:t>
            </w:r>
          </w:p>
        </w:tc>
        <w:tc>
          <w:tcPr>
            <w:tcW w:w="154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年</w:t>
            </w:r>
          </w:p>
        </w:tc>
        <w:tc>
          <w:tcPr>
            <w:tcW w:w="2436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56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15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2019年11月14日在全省普通高中新课标新教材省级集中培训中开设《我国的社会保障》公开课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2022年12月参加宿迁市高一年级政治学科期末考试命题工作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2023年12月参加宿迁市高二年级政治学科期末考试命题工作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2015年被评为宿迁市第九届中学政治教学能手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2016年宿迁市“一师一优课，一课一名师”一等奖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2020年宿迁市中小学“精品思政课”高中组二等奖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2019年宿迁市市直片高中思想政治青年教师教学基本功大赛二等奖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2019年宿迁市市直片高中《思想政治》优质课评比二等奖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2013年宿迁市高中综合实践活动青年教师基本功比赛二等奖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18"/>
                <w:szCs w:val="18"/>
                <w:lang w:val="en-US" w:eastAsia="zh-CN"/>
              </w:rPr>
              <w:t>2020年“养正学堂杯”课堂教学大赛一等奖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29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2012-2013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2013-2014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2014-2015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2015-2016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2016-2017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2017-2018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2018-2019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2019-2020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2020-2021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kern w:val="0"/>
                <w:sz w:val="18"/>
                <w:szCs w:val="18"/>
              </w:rPr>
              <w:t>2021-2022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/>
                <w:kern w:val="0"/>
                <w:sz w:val="18"/>
                <w:szCs w:val="18"/>
                <w:lang w:val="en-US" w:eastAsia="zh-CN" w:bidi="ar-SA"/>
              </w:rPr>
              <w:t>2022-2023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cs="Times New Roman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/>
                <w:kern w:val="0"/>
                <w:sz w:val="18"/>
                <w:szCs w:val="18"/>
                <w:lang w:val="en-US" w:eastAsia="zh-CN" w:bidi="ar-SA"/>
              </w:rPr>
              <w:t>2023-2024</w:t>
            </w:r>
          </w:p>
        </w:tc>
        <w:tc>
          <w:tcPr>
            <w:tcW w:w="156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高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一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）、（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12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16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；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高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二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）、（1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16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；</w:t>
            </w:r>
          </w:p>
          <w:p>
            <w:pPr>
              <w:autoSpaceDE w:val="0"/>
              <w:autoSpaceDN w:val="0"/>
              <w:rPr>
                <w:rFonts w:ascii="宋体" w:hAnsi="宋体"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高一（2）、（11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；</w:t>
            </w:r>
          </w:p>
          <w:p>
            <w:pPr>
              <w:autoSpaceDE w:val="0"/>
              <w:autoSpaceDN w:val="0"/>
              <w:rPr>
                <w:rFonts w:ascii="宋体" w:hAnsi="宋体"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高二（1）、（11）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）；</w:t>
            </w:r>
          </w:p>
          <w:p>
            <w:pPr>
              <w:autoSpaceDE w:val="0"/>
              <w:autoSpaceDN w:val="0"/>
              <w:rPr>
                <w:rFonts w:ascii="宋体" w:hAnsi="宋体"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高三（13）、（19）；</w:t>
            </w:r>
          </w:p>
          <w:p>
            <w:pPr>
              <w:autoSpaceDE w:val="0"/>
              <w:autoSpaceDN w:val="0"/>
              <w:rPr>
                <w:rFonts w:ascii="宋体" w:hAnsi="宋体"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高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一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(1)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8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19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；高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二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（10）（16）</w:t>
            </w:r>
          </w:p>
          <w:p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高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color w:val="auto"/>
                <w:kern w:val="0"/>
                <w:sz w:val="15"/>
                <w:szCs w:val="15"/>
                <w:lang w:val="en-US" w:eastAsia="zh-CN"/>
              </w:rPr>
              <w:t>19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</w:t>
            </w:r>
          </w:p>
          <w:p>
            <w:pPr>
              <w:autoSpaceDE w:val="0"/>
              <w:autoSpaceDN w:val="0"/>
              <w:rPr>
                <w:rFonts w:ascii="宋体" w:hAnsi="宋体"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高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</w:t>
            </w:r>
          </w:p>
          <w:p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高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一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16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</w:rPr>
              <w:t>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26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28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</w:t>
            </w:r>
          </w:p>
          <w:p>
            <w:pPr>
              <w:autoSpaceDE w:val="0"/>
              <w:autoSpaceDN w:val="0"/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高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二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7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）（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20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eastAsia="zh-CN"/>
              </w:rPr>
              <w:t>）</w:t>
            </w: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.</w:t>
            </w:r>
          </w:p>
          <w:p>
            <w:pPr>
              <w:autoSpaceDE w:val="0"/>
              <w:autoSpaceDN w:val="0"/>
              <w:rPr>
                <w:rFonts w:hint="default" w:ascii="宋体" w:hAnsi="宋体"/>
                <w:bCs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15"/>
                <w:szCs w:val="15"/>
                <w:lang w:val="en-US" w:eastAsia="zh-CN"/>
              </w:rPr>
              <w:t>高三（6）（12）</w:t>
            </w:r>
          </w:p>
        </w:tc>
        <w:tc>
          <w:tcPr>
            <w:tcW w:w="115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6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6"/>
                <w:lang w:eastAsia="zh-CN"/>
              </w:rPr>
              <w:t>高中政治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 w:val="20"/>
                <w:szCs w:val="20"/>
                <w:lang w:val="en-US" w:eastAsia="zh-CN"/>
              </w:rPr>
              <w:t>12</w:t>
            </w:r>
          </w:p>
          <w:p>
            <w:pPr>
              <w:autoSpaceDE w:val="0"/>
              <w:autoSpaceDN w:val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6"/>
                <w:lang w:val="en-US" w:eastAsia="zh-CN" w:bidi="ar-SA"/>
              </w:rPr>
            </w:pP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2023年度全市基础教育工作“优秀班主任”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2022-2023学年度校“优秀班主任”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第二节班主任节“优秀班主任”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2021-2022学年度校“优秀班主任”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2020-2021学年度校“优秀班主任”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2019-2020学年度校“十佳班主任”</w:t>
            </w:r>
            <w:bookmarkStart w:id="0" w:name="_GoBack"/>
            <w:bookmarkEnd w:id="0"/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3355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both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1.2021年党史学习教育先进个人；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指导青年教师国星、常江，成绩优秀。</w:t>
            </w:r>
          </w:p>
          <w:p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3.2016年</w:t>
            </w:r>
            <w:r>
              <w:rPr>
                <w:rFonts w:hint="eastAsia" w:ascii="宋体" w:hAnsi="宋体"/>
                <w:bCs/>
                <w:kern w:val="0"/>
                <w:sz w:val="24"/>
                <w:szCs w:val="24"/>
                <w:lang w:val="en-US" w:eastAsia="zh-CN"/>
              </w:rPr>
              <w:t>“投身两学一做推动教育发展”知识竞赛三等奖”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53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93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071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开展生活化的高中政治教学</w:t>
            </w: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时政资源在高中思政课教学中的运用策略探究</w:t>
            </w: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基于时事政治的高中政治教学的探讨</w:t>
            </w: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》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中学政史地</w:t>
            </w: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试题与研究</w:t>
            </w: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教育界</w:t>
            </w: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》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2021.9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2023.11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2015.14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生活，政治课的起点与归处--以“我国的社会保障”为例</w:t>
            </w: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》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生活让意识形态教育更高效</w:t>
            </w: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》</w:t>
            </w:r>
          </w:p>
        </w:tc>
        <w:tc>
          <w:tcPr>
            <w:tcW w:w="153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江苏省陶行知研究会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宿迁市中小学教学研究室</w:t>
            </w:r>
          </w:p>
        </w:tc>
        <w:tc>
          <w:tcPr>
            <w:tcW w:w="93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二等奖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二等奖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6"/>
                <w:szCs w:val="15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6"/>
                <w:szCs w:val="15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6"/>
                <w:szCs w:val="15"/>
              </w:rPr>
            </w:pP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2023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2017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2018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2020</w:t>
            </w:r>
          </w:p>
          <w:p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2021</w:t>
            </w:r>
          </w:p>
        </w:tc>
        <w:tc>
          <w:tcPr>
            <w:tcW w:w="1071" w:type="dxa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宿迁市教育局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宿迁市教育局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6"/>
                <w:szCs w:val="15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全市基础教育工作“优秀班主任”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宿迁中心城区教育系统“优秀青年教师”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“优秀教师”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“</w:t>
            </w: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优秀招生工作者</w:t>
            </w:r>
            <w:r>
              <w:rPr>
                <w:rFonts w:hint="eastAsia" w:cs="Times New Roman"/>
                <w:kern w:val="0"/>
                <w:sz w:val="16"/>
                <w:szCs w:val="15"/>
                <w:lang w:eastAsia="zh-CN"/>
              </w:rPr>
              <w:t>”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6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6"/>
                <w:szCs w:val="15"/>
                <w:lang w:val="en-US" w:eastAsia="zh-CN"/>
              </w:rPr>
              <w:t>党史学习教育“先进个人”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175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182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447414"/>
    <w:multiLevelType w:val="singleLevel"/>
    <w:tmpl w:val="C844741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  <w:docVar w:name="KSO_WPS_MARK_KEY" w:val="6d576ab0-c436-47f9-adf9-c264c7f536bd"/>
  </w:docVars>
  <w:rsids>
    <w:rsidRoot w:val="3A02218E"/>
    <w:rsid w:val="026D61E5"/>
    <w:rsid w:val="31757C16"/>
    <w:rsid w:val="3A02218E"/>
    <w:rsid w:val="443952BB"/>
    <w:rsid w:val="4AE23C93"/>
    <w:rsid w:val="506B53D1"/>
    <w:rsid w:val="618F221F"/>
    <w:rsid w:val="671309C0"/>
    <w:rsid w:val="6F34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乐悠淘</cp:lastModifiedBy>
  <cp:lastPrinted>2024-08-15T10:32:00Z</cp:lastPrinted>
  <dcterms:modified xsi:type="dcterms:W3CDTF">2024-08-16T02:28:58Z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B770EE1FF6544C0CBA3DB9CCF9CA1A2F</vt:lpwstr>
  </property>
</Properties>
</file>